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A5A" w:rsidRPr="0011099A" w:rsidRDefault="0011099A" w:rsidP="0011099A">
      <w:pPr>
        <w:ind w:right="0"/>
        <w:jc w:val="both"/>
        <w:rPr>
          <w:b/>
          <w:sz w:val="28"/>
        </w:rPr>
      </w:pPr>
      <w:r w:rsidRPr="0011099A">
        <w:rPr>
          <w:b/>
          <w:sz w:val="28"/>
        </w:rPr>
        <w:t>Richtlinien zum Projektantragsverfahren im Rahmen des Gladbecker Bündnisses für Familie – Erziehung, Bildung, Zukunft</w:t>
      </w:r>
    </w:p>
    <w:p w:rsidR="0011099A" w:rsidRDefault="0011099A" w:rsidP="0011099A">
      <w:pPr>
        <w:ind w:right="0"/>
        <w:jc w:val="both"/>
        <w:rPr>
          <w:sz w:val="22"/>
        </w:rPr>
      </w:pPr>
    </w:p>
    <w:p w:rsidR="0011099A" w:rsidRDefault="0011099A" w:rsidP="0011099A">
      <w:pPr>
        <w:ind w:right="0"/>
        <w:jc w:val="both"/>
        <w:rPr>
          <w:sz w:val="22"/>
        </w:rPr>
      </w:pPr>
    </w:p>
    <w:p w:rsidR="0011099A" w:rsidRDefault="0011099A" w:rsidP="0011099A">
      <w:pPr>
        <w:pStyle w:val="Listenabsatz"/>
        <w:numPr>
          <w:ilvl w:val="0"/>
          <w:numId w:val="1"/>
        </w:numPr>
        <w:ind w:right="0"/>
        <w:jc w:val="both"/>
        <w:rPr>
          <w:sz w:val="22"/>
        </w:rPr>
      </w:pPr>
      <w:r>
        <w:rPr>
          <w:sz w:val="22"/>
        </w:rPr>
        <w:t xml:space="preserve">Projektanträge im Rahmen des Gladbecker Bündnisses für Familie – Erziehung, Bildung, Zukunft sind zu den Stichtagen 31.01.  und 31.07. des </w:t>
      </w:r>
      <w:r w:rsidR="00434D09">
        <w:rPr>
          <w:sz w:val="22"/>
        </w:rPr>
        <w:t>jeweiligen Bewilligungsj</w:t>
      </w:r>
      <w:r>
        <w:rPr>
          <w:sz w:val="22"/>
        </w:rPr>
        <w:t xml:space="preserve">ahres an die Projektleitung </w:t>
      </w:r>
      <w:r w:rsidR="000E6C8F">
        <w:rPr>
          <w:sz w:val="22"/>
        </w:rPr>
        <w:t xml:space="preserve">und nachrichtlich an das zu beteiligende </w:t>
      </w:r>
      <w:proofErr w:type="spellStart"/>
      <w:r w:rsidR="000E6C8F">
        <w:rPr>
          <w:sz w:val="22"/>
        </w:rPr>
        <w:t>Fachamt</w:t>
      </w:r>
      <w:proofErr w:type="spellEnd"/>
      <w:r w:rsidR="000E6C8F">
        <w:rPr>
          <w:sz w:val="22"/>
        </w:rPr>
        <w:t xml:space="preserve"> zu stellen.</w:t>
      </w:r>
    </w:p>
    <w:p w:rsidR="000E6C8F" w:rsidRDefault="000E6C8F" w:rsidP="000E6C8F">
      <w:pPr>
        <w:ind w:right="0"/>
        <w:jc w:val="both"/>
        <w:rPr>
          <w:sz w:val="22"/>
        </w:rPr>
      </w:pPr>
    </w:p>
    <w:p w:rsidR="000E6C8F" w:rsidRDefault="000E6C8F" w:rsidP="000E6C8F">
      <w:pPr>
        <w:pStyle w:val="Listenabsatz"/>
        <w:numPr>
          <w:ilvl w:val="0"/>
          <w:numId w:val="1"/>
        </w:numPr>
        <w:ind w:right="0"/>
        <w:jc w:val="both"/>
        <w:rPr>
          <w:sz w:val="22"/>
        </w:rPr>
      </w:pPr>
      <w:r>
        <w:rPr>
          <w:sz w:val="22"/>
        </w:rPr>
        <w:t>Die Projektanträge müssen die nachfolgend genannten Förderkriterien erfüllen:</w:t>
      </w:r>
    </w:p>
    <w:p w:rsidR="000E6C8F" w:rsidRDefault="000E6C8F" w:rsidP="000E6C8F">
      <w:pPr>
        <w:pStyle w:val="Listenabsatz"/>
        <w:ind w:left="360" w:right="0"/>
        <w:jc w:val="both"/>
        <w:rPr>
          <w:sz w:val="22"/>
        </w:rPr>
      </w:pPr>
    </w:p>
    <w:p w:rsidR="000E6C8F" w:rsidRDefault="000E6C8F" w:rsidP="000E6C8F">
      <w:pPr>
        <w:pStyle w:val="Listenabsatz"/>
        <w:ind w:left="360" w:right="0"/>
        <w:jc w:val="both"/>
        <w:rPr>
          <w:sz w:val="22"/>
        </w:rPr>
      </w:pPr>
      <w:r>
        <w:rPr>
          <w:sz w:val="22"/>
        </w:rPr>
        <w:t>Das geplante Projekt</w:t>
      </w:r>
    </w:p>
    <w:p w:rsidR="000E6C8F" w:rsidRDefault="000E6C8F" w:rsidP="000E6C8F">
      <w:pPr>
        <w:pStyle w:val="Listenabsatz"/>
        <w:numPr>
          <w:ilvl w:val="0"/>
          <w:numId w:val="2"/>
        </w:numPr>
        <w:ind w:right="0"/>
        <w:jc w:val="both"/>
        <w:rPr>
          <w:sz w:val="22"/>
        </w:rPr>
      </w:pPr>
      <w:r>
        <w:rPr>
          <w:sz w:val="22"/>
        </w:rPr>
        <w:t>darf kein Regelangebot sein,</w:t>
      </w:r>
    </w:p>
    <w:p w:rsidR="000E6C8F" w:rsidRDefault="000E6C8F" w:rsidP="000E6C8F">
      <w:pPr>
        <w:pStyle w:val="Listenabsatz"/>
        <w:numPr>
          <w:ilvl w:val="0"/>
          <w:numId w:val="2"/>
        </w:numPr>
        <w:ind w:right="0"/>
        <w:jc w:val="both"/>
        <w:rPr>
          <w:sz w:val="22"/>
        </w:rPr>
      </w:pPr>
      <w:r>
        <w:rPr>
          <w:sz w:val="22"/>
        </w:rPr>
        <w:t>muss eine nachhaltig wirkende Zielsetzung haben,</w:t>
      </w:r>
    </w:p>
    <w:p w:rsidR="000E6C8F" w:rsidRDefault="000E6C8F" w:rsidP="000E6C8F">
      <w:pPr>
        <w:pStyle w:val="Listenabsatz"/>
        <w:numPr>
          <w:ilvl w:val="0"/>
          <w:numId w:val="2"/>
        </w:numPr>
        <w:ind w:right="0"/>
        <w:jc w:val="both"/>
        <w:rPr>
          <w:sz w:val="22"/>
        </w:rPr>
      </w:pPr>
      <w:r>
        <w:rPr>
          <w:sz w:val="22"/>
        </w:rPr>
        <w:t>muss transferfähig sein,</w:t>
      </w:r>
    </w:p>
    <w:p w:rsidR="000E6C8F" w:rsidRDefault="000E6C8F" w:rsidP="000E6C8F">
      <w:pPr>
        <w:pStyle w:val="Listenabsatz"/>
        <w:numPr>
          <w:ilvl w:val="0"/>
          <w:numId w:val="2"/>
        </w:numPr>
        <w:ind w:right="0"/>
        <w:jc w:val="both"/>
        <w:rPr>
          <w:sz w:val="22"/>
        </w:rPr>
      </w:pPr>
      <w:r>
        <w:rPr>
          <w:sz w:val="22"/>
        </w:rPr>
        <w:t>basiert auf einer sachgerechten, realistischen Finanzierungsplanung und</w:t>
      </w:r>
    </w:p>
    <w:p w:rsidR="000E6C8F" w:rsidRPr="000E6C8F" w:rsidRDefault="000E6C8F" w:rsidP="000E6C8F">
      <w:pPr>
        <w:ind w:left="360" w:right="0"/>
        <w:jc w:val="both"/>
        <w:rPr>
          <w:sz w:val="22"/>
        </w:rPr>
      </w:pPr>
    </w:p>
    <w:p w:rsidR="000E6C8F" w:rsidRDefault="000E6C8F" w:rsidP="000E6C8F">
      <w:pPr>
        <w:ind w:left="360" w:right="0"/>
        <w:jc w:val="both"/>
        <w:rPr>
          <w:sz w:val="22"/>
        </w:rPr>
      </w:pPr>
      <w:r>
        <w:rPr>
          <w:sz w:val="22"/>
        </w:rPr>
        <w:t>muss de</w:t>
      </w:r>
      <w:r w:rsidR="00C94B8E">
        <w:rPr>
          <w:sz w:val="22"/>
        </w:rPr>
        <w:t xml:space="preserve">r </w:t>
      </w:r>
      <w:r>
        <w:rPr>
          <w:sz w:val="22"/>
        </w:rPr>
        <w:t>Schwerpunkts</w:t>
      </w:r>
      <w:r w:rsidR="00434D09">
        <w:rPr>
          <w:sz w:val="22"/>
        </w:rPr>
        <w:t>e</w:t>
      </w:r>
      <w:r>
        <w:rPr>
          <w:sz w:val="22"/>
        </w:rPr>
        <w:t xml:space="preserve">tzung </w:t>
      </w:r>
      <w:r w:rsidR="00C94B8E">
        <w:rPr>
          <w:sz w:val="22"/>
        </w:rPr>
        <w:t xml:space="preserve"> des Gladbecker Bündnisses entsprechen</w:t>
      </w:r>
      <w:bookmarkStart w:id="0" w:name="_GoBack"/>
      <w:bookmarkEnd w:id="0"/>
      <w:r>
        <w:rPr>
          <w:sz w:val="22"/>
        </w:rPr>
        <w:t>.</w:t>
      </w:r>
    </w:p>
    <w:p w:rsidR="000E6C8F" w:rsidRDefault="000E6C8F" w:rsidP="000E6C8F">
      <w:pPr>
        <w:ind w:left="360" w:right="0"/>
        <w:jc w:val="both"/>
        <w:rPr>
          <w:sz w:val="22"/>
        </w:rPr>
      </w:pPr>
    </w:p>
    <w:p w:rsidR="000E6C8F" w:rsidRDefault="0080632F" w:rsidP="0080632F">
      <w:pPr>
        <w:ind w:left="360" w:right="0"/>
        <w:jc w:val="both"/>
        <w:rPr>
          <w:sz w:val="22"/>
        </w:rPr>
      </w:pPr>
      <w:r w:rsidRPr="0080632F">
        <w:rPr>
          <w:sz w:val="22"/>
        </w:rPr>
        <w:t>Der Projektantrag ist in die vorgegebene Antragsmatrix einzufügen.</w:t>
      </w:r>
    </w:p>
    <w:p w:rsidR="0080632F" w:rsidRDefault="0080632F" w:rsidP="0080632F">
      <w:pPr>
        <w:ind w:left="360" w:right="0"/>
        <w:jc w:val="both"/>
        <w:rPr>
          <w:sz w:val="22"/>
        </w:rPr>
      </w:pPr>
    </w:p>
    <w:p w:rsidR="0080632F" w:rsidRDefault="0080632F" w:rsidP="0080632F">
      <w:pPr>
        <w:pStyle w:val="Listenabsatz"/>
        <w:numPr>
          <w:ilvl w:val="0"/>
          <w:numId w:val="1"/>
        </w:numPr>
        <w:ind w:right="0"/>
        <w:jc w:val="both"/>
        <w:rPr>
          <w:sz w:val="22"/>
        </w:rPr>
      </w:pPr>
      <w:r>
        <w:rPr>
          <w:sz w:val="22"/>
        </w:rPr>
        <w:t>Der Projektzeitraum darf perspektivisch maximal drei Jahre umfassen. Der Höchstförde</w:t>
      </w:r>
      <w:r>
        <w:rPr>
          <w:sz w:val="22"/>
        </w:rPr>
        <w:t>r</w:t>
      </w:r>
      <w:r>
        <w:rPr>
          <w:sz w:val="22"/>
        </w:rPr>
        <w:t>betrag für kleinteilige Projekte beträgt maximal 5.000 Euro jährlich.</w:t>
      </w:r>
    </w:p>
    <w:p w:rsidR="0080632F" w:rsidRDefault="0080632F" w:rsidP="0080632F">
      <w:pPr>
        <w:ind w:left="360" w:right="0"/>
        <w:jc w:val="both"/>
        <w:rPr>
          <w:sz w:val="22"/>
        </w:rPr>
      </w:pPr>
    </w:p>
    <w:p w:rsidR="0080632F" w:rsidRDefault="0080632F" w:rsidP="0080632F">
      <w:pPr>
        <w:ind w:left="360" w:right="0"/>
        <w:jc w:val="both"/>
        <w:rPr>
          <w:sz w:val="22"/>
        </w:rPr>
      </w:pPr>
      <w:r>
        <w:rPr>
          <w:sz w:val="22"/>
        </w:rPr>
        <w:t>Projekte mit kürzerer Laufzeit können mit einer</w:t>
      </w:r>
      <w:r w:rsidR="00434D09">
        <w:rPr>
          <w:sz w:val="22"/>
        </w:rPr>
        <w:t xml:space="preserve"> sachlich nachvollziehbaren</w:t>
      </w:r>
      <w:r>
        <w:rPr>
          <w:sz w:val="22"/>
        </w:rPr>
        <w:t xml:space="preserve"> Begründung auf maximal drei Jahre Laufzeit verlängert werden. </w:t>
      </w:r>
    </w:p>
    <w:p w:rsidR="0080632F" w:rsidRDefault="0080632F" w:rsidP="0080632F">
      <w:pPr>
        <w:ind w:left="360" w:right="0"/>
        <w:jc w:val="both"/>
        <w:rPr>
          <w:sz w:val="22"/>
        </w:rPr>
      </w:pPr>
    </w:p>
    <w:p w:rsidR="0080632F" w:rsidRDefault="0080632F" w:rsidP="0080632F">
      <w:pPr>
        <w:pStyle w:val="Listenabsatz"/>
        <w:numPr>
          <w:ilvl w:val="0"/>
          <w:numId w:val="1"/>
        </w:numPr>
        <w:ind w:right="0"/>
        <w:jc w:val="both"/>
        <w:rPr>
          <w:sz w:val="22"/>
        </w:rPr>
      </w:pPr>
      <w:r>
        <w:rPr>
          <w:sz w:val="22"/>
        </w:rPr>
        <w:t>Die Projektleitung überprüft gemeinsam mit den Werkstattmoderator</w:t>
      </w:r>
      <w:r w:rsidR="00434D09">
        <w:rPr>
          <w:sz w:val="22"/>
        </w:rPr>
        <w:t>inn</w:t>
      </w:r>
      <w:r>
        <w:rPr>
          <w:sz w:val="22"/>
        </w:rPr>
        <w:t>en</w:t>
      </w:r>
      <w:r w:rsidR="00434D09">
        <w:rPr>
          <w:sz w:val="22"/>
        </w:rPr>
        <w:t>/en</w:t>
      </w:r>
      <w:r>
        <w:rPr>
          <w:sz w:val="22"/>
        </w:rPr>
        <w:t xml:space="preserve"> in einer fachlichen Vorbewertung, ob  Förderantr</w:t>
      </w:r>
      <w:r w:rsidR="00434D09">
        <w:rPr>
          <w:sz w:val="22"/>
        </w:rPr>
        <w:t>ä</w:t>
      </w:r>
      <w:r>
        <w:rPr>
          <w:sz w:val="22"/>
        </w:rPr>
        <w:t>g</w:t>
      </w:r>
      <w:r w:rsidR="00434D09">
        <w:rPr>
          <w:sz w:val="22"/>
        </w:rPr>
        <w:t>e</w:t>
      </w:r>
      <w:r>
        <w:rPr>
          <w:sz w:val="22"/>
        </w:rPr>
        <w:t xml:space="preserve"> den Handlungsfeldern und den Förderkrit</w:t>
      </w:r>
      <w:r>
        <w:rPr>
          <w:sz w:val="22"/>
        </w:rPr>
        <w:t>e</w:t>
      </w:r>
      <w:r>
        <w:rPr>
          <w:sz w:val="22"/>
        </w:rPr>
        <w:t>rien (siehe Punkt 2</w:t>
      </w:r>
      <w:r w:rsidR="00434D09">
        <w:rPr>
          <w:sz w:val="22"/>
        </w:rPr>
        <w:t xml:space="preserve">) </w:t>
      </w:r>
      <w:r>
        <w:rPr>
          <w:sz w:val="22"/>
        </w:rPr>
        <w:t>des Gladbecker Bündnisses entspr</w:t>
      </w:r>
      <w:r w:rsidR="00434D09">
        <w:rPr>
          <w:sz w:val="22"/>
        </w:rPr>
        <w:t>echen</w:t>
      </w:r>
      <w:r>
        <w:rPr>
          <w:sz w:val="22"/>
        </w:rPr>
        <w:t xml:space="preserve"> und förderfähig </w:t>
      </w:r>
      <w:r w:rsidR="00434D09">
        <w:rPr>
          <w:sz w:val="22"/>
        </w:rPr>
        <w:t>sind</w:t>
      </w:r>
      <w:r>
        <w:rPr>
          <w:sz w:val="22"/>
        </w:rPr>
        <w:t xml:space="preserve">. </w:t>
      </w:r>
      <w:r w:rsidR="00FB1914">
        <w:rPr>
          <w:sz w:val="22"/>
        </w:rPr>
        <w:t>Danach werden die Anträge dem Steuerkreis Gladbecker Bündnis zugeleitet. Nach dort erfolgter Be</w:t>
      </w:r>
      <w:r w:rsidR="00434D09">
        <w:rPr>
          <w:sz w:val="22"/>
        </w:rPr>
        <w:t>ratung</w:t>
      </w:r>
      <w:r w:rsidR="00FB1914">
        <w:rPr>
          <w:sz w:val="22"/>
        </w:rPr>
        <w:t xml:space="preserve"> werden die</w:t>
      </w:r>
      <w:r w:rsidR="00434D09">
        <w:rPr>
          <w:sz w:val="22"/>
        </w:rPr>
        <w:t xml:space="preserve"> förderfähigen </w:t>
      </w:r>
      <w:r w:rsidR="00FB1914">
        <w:rPr>
          <w:sz w:val="22"/>
        </w:rPr>
        <w:t>Projektanträge über die Fachämter direkt in die Fac</w:t>
      </w:r>
      <w:r w:rsidR="00FB1914">
        <w:rPr>
          <w:sz w:val="22"/>
        </w:rPr>
        <w:t>h</w:t>
      </w:r>
      <w:r w:rsidR="00FB1914">
        <w:rPr>
          <w:sz w:val="22"/>
        </w:rPr>
        <w:t xml:space="preserve">ausschüsse weitergeleitet. Bei positiver </w:t>
      </w:r>
      <w:r w:rsidR="00434D09">
        <w:rPr>
          <w:sz w:val="22"/>
        </w:rPr>
        <w:t>Entscheidung</w:t>
      </w:r>
      <w:r w:rsidR="00FB1914">
        <w:rPr>
          <w:sz w:val="22"/>
        </w:rPr>
        <w:t xml:space="preserve"> </w:t>
      </w:r>
      <w:r w:rsidR="00434D09">
        <w:rPr>
          <w:sz w:val="22"/>
        </w:rPr>
        <w:t xml:space="preserve">in den </w:t>
      </w:r>
      <w:r w:rsidR="00FB1914">
        <w:rPr>
          <w:sz w:val="22"/>
        </w:rPr>
        <w:t>Fachausschüsse</w:t>
      </w:r>
      <w:r w:rsidR="00434D09">
        <w:rPr>
          <w:sz w:val="22"/>
        </w:rPr>
        <w:t>n</w:t>
      </w:r>
      <w:r w:rsidR="00FB1914">
        <w:rPr>
          <w:sz w:val="22"/>
        </w:rPr>
        <w:t xml:space="preserve"> erfolgt im nächsten Schritt die Beschlussfassung zur Mittelfreigabe im Haupt- und Finanzausschuss der Stadt Gladbeck.</w:t>
      </w:r>
    </w:p>
    <w:p w:rsidR="00FB1914" w:rsidRDefault="00FB1914" w:rsidP="00FB1914">
      <w:pPr>
        <w:ind w:left="360" w:right="0"/>
        <w:jc w:val="both"/>
        <w:rPr>
          <w:sz w:val="22"/>
        </w:rPr>
      </w:pPr>
    </w:p>
    <w:p w:rsidR="00FB1914" w:rsidRDefault="00FB1914" w:rsidP="00FB1914">
      <w:pPr>
        <w:ind w:left="360" w:right="0"/>
        <w:jc w:val="both"/>
        <w:rPr>
          <w:sz w:val="22"/>
        </w:rPr>
      </w:pPr>
      <w:r>
        <w:rPr>
          <w:sz w:val="22"/>
        </w:rPr>
        <w:t>Einen Recht</w:t>
      </w:r>
      <w:r w:rsidR="00434D09">
        <w:rPr>
          <w:sz w:val="22"/>
        </w:rPr>
        <w:t>s</w:t>
      </w:r>
      <w:r>
        <w:rPr>
          <w:sz w:val="22"/>
        </w:rPr>
        <w:t>anspruch auf Förderung durch das Gladbecker Bündnis für Familie</w:t>
      </w:r>
      <w:r w:rsidR="00434D09">
        <w:rPr>
          <w:sz w:val="22"/>
        </w:rPr>
        <w:t>- Erzi</w:t>
      </w:r>
      <w:r w:rsidR="00434D09">
        <w:rPr>
          <w:sz w:val="22"/>
        </w:rPr>
        <w:t>e</w:t>
      </w:r>
      <w:r w:rsidR="00434D09">
        <w:rPr>
          <w:sz w:val="22"/>
        </w:rPr>
        <w:t xml:space="preserve">hung, Bildung, Zukunft </w:t>
      </w:r>
      <w:r>
        <w:rPr>
          <w:sz w:val="22"/>
        </w:rPr>
        <w:t xml:space="preserve"> besteht nicht. Die Förderung erfolgt in Abhängigkeit des zur Ve</w:t>
      </w:r>
      <w:r>
        <w:rPr>
          <w:sz w:val="22"/>
        </w:rPr>
        <w:t>r</w:t>
      </w:r>
      <w:r>
        <w:rPr>
          <w:sz w:val="22"/>
        </w:rPr>
        <w:t xml:space="preserve">fügung stehenden Finanzvolumens. </w:t>
      </w:r>
    </w:p>
    <w:p w:rsidR="00FB1914" w:rsidRDefault="00FB1914" w:rsidP="005908EC">
      <w:pPr>
        <w:ind w:right="0"/>
        <w:jc w:val="both"/>
        <w:rPr>
          <w:sz w:val="22"/>
        </w:rPr>
      </w:pPr>
    </w:p>
    <w:p w:rsidR="005908EC" w:rsidRPr="005908EC" w:rsidRDefault="005908EC" w:rsidP="005908EC">
      <w:pPr>
        <w:ind w:right="0"/>
        <w:jc w:val="center"/>
        <w:rPr>
          <w:sz w:val="16"/>
        </w:rPr>
      </w:pPr>
      <w:r>
        <w:rPr>
          <w:sz w:val="16"/>
        </w:rPr>
        <w:t>2</w:t>
      </w:r>
    </w:p>
    <w:p w:rsidR="005908EC" w:rsidRDefault="005908EC" w:rsidP="005908EC">
      <w:pPr>
        <w:ind w:right="0"/>
        <w:jc w:val="both"/>
        <w:rPr>
          <w:sz w:val="22"/>
        </w:rPr>
      </w:pPr>
    </w:p>
    <w:p w:rsidR="005908EC" w:rsidRDefault="005908EC" w:rsidP="005908EC">
      <w:pPr>
        <w:ind w:right="0"/>
        <w:jc w:val="both"/>
        <w:rPr>
          <w:sz w:val="22"/>
        </w:rPr>
      </w:pPr>
    </w:p>
    <w:p w:rsidR="00FB1914" w:rsidRDefault="00FB1914" w:rsidP="00FB1914">
      <w:pPr>
        <w:pStyle w:val="Listenabsatz"/>
        <w:numPr>
          <w:ilvl w:val="0"/>
          <w:numId w:val="1"/>
        </w:numPr>
        <w:ind w:right="0"/>
        <w:jc w:val="both"/>
        <w:rPr>
          <w:sz w:val="22"/>
        </w:rPr>
      </w:pPr>
      <w:r>
        <w:rPr>
          <w:sz w:val="22"/>
        </w:rPr>
        <w:t xml:space="preserve">Nach Projektbewilligung durch den Haupt- und Finanzausschuss erlässt das </w:t>
      </w:r>
      <w:proofErr w:type="spellStart"/>
      <w:r>
        <w:rPr>
          <w:sz w:val="22"/>
        </w:rPr>
        <w:t>Fachamt</w:t>
      </w:r>
      <w:proofErr w:type="spellEnd"/>
      <w:r>
        <w:rPr>
          <w:sz w:val="22"/>
        </w:rPr>
        <w:t xml:space="preserve"> den Zuwendungsbescheid unter Festlegung der Zuschusshöhe</w:t>
      </w:r>
      <w:r w:rsidR="00434D09">
        <w:rPr>
          <w:sz w:val="22"/>
        </w:rPr>
        <w:t>,</w:t>
      </w:r>
      <w:r>
        <w:rPr>
          <w:sz w:val="22"/>
        </w:rPr>
        <w:t xml:space="preserve"> des durchzuführenden Proje</w:t>
      </w:r>
      <w:r>
        <w:rPr>
          <w:sz w:val="22"/>
        </w:rPr>
        <w:t>k</w:t>
      </w:r>
      <w:r>
        <w:rPr>
          <w:sz w:val="22"/>
        </w:rPr>
        <w:t xml:space="preserve">tes, die Finanzierungsart und die Auszahlungsmodalitäten. </w:t>
      </w:r>
    </w:p>
    <w:p w:rsidR="00FB1914" w:rsidRDefault="00FB1914" w:rsidP="00FB1914">
      <w:pPr>
        <w:pStyle w:val="Listenabsatz"/>
        <w:ind w:left="360" w:right="0"/>
        <w:jc w:val="both"/>
        <w:rPr>
          <w:sz w:val="22"/>
        </w:rPr>
      </w:pPr>
    </w:p>
    <w:p w:rsidR="00FB1914" w:rsidRDefault="00FB1914" w:rsidP="00FB1914">
      <w:pPr>
        <w:pStyle w:val="Listenabsatz"/>
        <w:ind w:left="360" w:right="0"/>
        <w:jc w:val="both"/>
        <w:rPr>
          <w:sz w:val="22"/>
        </w:rPr>
      </w:pPr>
      <w:r>
        <w:rPr>
          <w:sz w:val="22"/>
        </w:rPr>
        <w:t>Der Verwendungsnachweis zum Zuschuss ist innerhalb von drei Monaten nach Ende des Bewilligungszeitraumes mit dem nachfolgend genannten Nachweis</w:t>
      </w:r>
      <w:r w:rsidR="00434D09">
        <w:rPr>
          <w:sz w:val="22"/>
        </w:rPr>
        <w:t>en</w:t>
      </w:r>
      <w:r>
        <w:rPr>
          <w:sz w:val="22"/>
        </w:rPr>
        <w:t xml:space="preserve"> zu erbringen:</w:t>
      </w:r>
    </w:p>
    <w:p w:rsidR="00FB1914" w:rsidRDefault="00FB1914" w:rsidP="00FB1914">
      <w:pPr>
        <w:pStyle w:val="Listenabsatz"/>
        <w:ind w:left="360" w:right="0"/>
        <w:jc w:val="both"/>
        <w:rPr>
          <w:sz w:val="22"/>
        </w:rPr>
      </w:pPr>
    </w:p>
    <w:p w:rsidR="00FB1914" w:rsidRDefault="00FB1914" w:rsidP="00FB1914">
      <w:pPr>
        <w:pStyle w:val="Listenabsatz"/>
        <w:numPr>
          <w:ilvl w:val="0"/>
          <w:numId w:val="2"/>
        </w:numPr>
        <w:ind w:right="0"/>
        <w:jc w:val="both"/>
        <w:rPr>
          <w:sz w:val="22"/>
        </w:rPr>
      </w:pPr>
      <w:r>
        <w:rPr>
          <w:sz w:val="22"/>
        </w:rPr>
        <w:t>Auflistung aller Einnahmen und Ausgaben</w:t>
      </w:r>
      <w:r w:rsidR="005908EC">
        <w:rPr>
          <w:sz w:val="22"/>
        </w:rPr>
        <w:t>, die im Rahmen der Durchführung des Pr</w:t>
      </w:r>
      <w:r w:rsidR="005908EC">
        <w:rPr>
          <w:sz w:val="22"/>
        </w:rPr>
        <w:t>o</w:t>
      </w:r>
      <w:r w:rsidR="005908EC">
        <w:rPr>
          <w:sz w:val="22"/>
        </w:rPr>
        <w:t>jektes entstanden sind. Auf die Vorlage von Büchern und Belegen wird verzichtet. Die Originalbelege zum Verwendungsnachweis sind jedoch für die Dauer von fünf Jahren nach Ende des Bewilligungszeitraumes aufzubewahren und der Stadt Gladbeck auf Verlangen vorzulegen.</w:t>
      </w:r>
    </w:p>
    <w:p w:rsidR="005908EC" w:rsidRDefault="005908EC" w:rsidP="005908EC">
      <w:pPr>
        <w:pStyle w:val="Listenabsatz"/>
        <w:ind w:right="0"/>
        <w:jc w:val="both"/>
        <w:rPr>
          <w:sz w:val="22"/>
        </w:rPr>
      </w:pPr>
    </w:p>
    <w:p w:rsidR="005908EC" w:rsidRDefault="005908EC" w:rsidP="005908EC">
      <w:pPr>
        <w:pStyle w:val="Listenabsatz"/>
        <w:numPr>
          <w:ilvl w:val="0"/>
          <w:numId w:val="2"/>
        </w:numPr>
        <w:ind w:right="0"/>
        <w:jc w:val="both"/>
        <w:rPr>
          <w:sz w:val="22"/>
        </w:rPr>
      </w:pPr>
      <w:r>
        <w:rPr>
          <w:sz w:val="22"/>
        </w:rPr>
        <w:t>Eine rechtsverbindliche Erklärung, dass die Angaben im Verwendungsnachweis mit den Büchern und Belegen übereinstimmen.</w:t>
      </w:r>
    </w:p>
    <w:p w:rsidR="005908EC" w:rsidRPr="005908EC" w:rsidRDefault="005908EC" w:rsidP="005908EC">
      <w:pPr>
        <w:pStyle w:val="Listenabsatz"/>
        <w:rPr>
          <w:sz w:val="22"/>
        </w:rPr>
      </w:pPr>
    </w:p>
    <w:p w:rsidR="005908EC" w:rsidRDefault="005908EC" w:rsidP="005908EC">
      <w:pPr>
        <w:pStyle w:val="Listenabsatz"/>
        <w:numPr>
          <w:ilvl w:val="0"/>
          <w:numId w:val="2"/>
        </w:numPr>
        <w:ind w:right="0"/>
        <w:jc w:val="both"/>
        <w:rPr>
          <w:sz w:val="22"/>
        </w:rPr>
      </w:pPr>
      <w:r>
        <w:rPr>
          <w:sz w:val="22"/>
        </w:rPr>
        <w:t>Vorlage eines kurzen Projektberichtes.</w:t>
      </w:r>
    </w:p>
    <w:p w:rsidR="005908EC" w:rsidRPr="005908EC" w:rsidRDefault="005908EC" w:rsidP="005908EC">
      <w:pPr>
        <w:pStyle w:val="Listenabsatz"/>
        <w:rPr>
          <w:sz w:val="22"/>
        </w:rPr>
      </w:pPr>
    </w:p>
    <w:p w:rsidR="005908EC" w:rsidRDefault="005908EC" w:rsidP="005908EC">
      <w:pPr>
        <w:ind w:left="360" w:right="0"/>
        <w:jc w:val="both"/>
        <w:rPr>
          <w:sz w:val="22"/>
        </w:rPr>
      </w:pPr>
      <w:r>
        <w:rPr>
          <w:sz w:val="22"/>
        </w:rPr>
        <w:t xml:space="preserve">Der Verwendungsnachweis ist an das Bescheid erlassende </w:t>
      </w:r>
      <w:proofErr w:type="spellStart"/>
      <w:r>
        <w:rPr>
          <w:sz w:val="22"/>
        </w:rPr>
        <w:t>Fachamt</w:t>
      </w:r>
      <w:proofErr w:type="spellEnd"/>
      <w:r>
        <w:rPr>
          <w:sz w:val="22"/>
        </w:rPr>
        <w:t xml:space="preserve"> zu senden und wird von dort der Projektleitung vorgelegt. Bei Überzahlung bzw. nicht zweckbestimmtem Ei</w:t>
      </w:r>
      <w:r>
        <w:rPr>
          <w:sz w:val="22"/>
        </w:rPr>
        <w:t>n</w:t>
      </w:r>
      <w:r>
        <w:rPr>
          <w:sz w:val="22"/>
        </w:rPr>
        <w:t>satz der Projektmittel behält sich die Stadt Gladbeck eine Rückforderung vor.</w:t>
      </w:r>
    </w:p>
    <w:p w:rsidR="005908EC" w:rsidRDefault="005908EC" w:rsidP="005908EC">
      <w:pPr>
        <w:ind w:left="360" w:right="0"/>
        <w:jc w:val="both"/>
        <w:rPr>
          <w:sz w:val="22"/>
        </w:rPr>
      </w:pPr>
    </w:p>
    <w:p w:rsidR="005908EC" w:rsidRDefault="005908EC" w:rsidP="005908EC">
      <w:pPr>
        <w:pStyle w:val="Listenabsatz"/>
        <w:numPr>
          <w:ilvl w:val="0"/>
          <w:numId w:val="1"/>
        </w:numPr>
        <w:ind w:right="0"/>
        <w:jc w:val="both"/>
        <w:rPr>
          <w:sz w:val="22"/>
        </w:rPr>
      </w:pPr>
      <w:r>
        <w:rPr>
          <w:sz w:val="22"/>
        </w:rPr>
        <w:t xml:space="preserve">Nach Ablauf des Projektes ist in den Werkstätten </w:t>
      </w:r>
      <w:r w:rsidR="00434D09">
        <w:rPr>
          <w:sz w:val="22"/>
        </w:rPr>
        <w:t xml:space="preserve"> und ggfls. </w:t>
      </w:r>
      <w:r w:rsidR="004D6B9A">
        <w:rPr>
          <w:sz w:val="22"/>
        </w:rPr>
        <w:t>i</w:t>
      </w:r>
      <w:r w:rsidR="00434D09">
        <w:rPr>
          <w:sz w:val="22"/>
        </w:rPr>
        <w:t xml:space="preserve">n den Fachausschüssen </w:t>
      </w:r>
      <w:r>
        <w:rPr>
          <w:sz w:val="22"/>
        </w:rPr>
        <w:t>über das Projekt zu berichten.</w:t>
      </w:r>
    </w:p>
    <w:p w:rsidR="005908EC" w:rsidRDefault="005908EC" w:rsidP="005908EC">
      <w:pPr>
        <w:ind w:right="0"/>
        <w:jc w:val="both"/>
        <w:rPr>
          <w:sz w:val="22"/>
        </w:rPr>
      </w:pPr>
    </w:p>
    <w:p w:rsidR="005908EC" w:rsidRDefault="005908EC" w:rsidP="005908EC">
      <w:pPr>
        <w:pStyle w:val="Listenabsatz"/>
        <w:numPr>
          <w:ilvl w:val="0"/>
          <w:numId w:val="1"/>
        </w:numPr>
        <w:ind w:right="0"/>
        <w:jc w:val="both"/>
        <w:rPr>
          <w:sz w:val="22"/>
        </w:rPr>
      </w:pPr>
      <w:r>
        <w:rPr>
          <w:sz w:val="22"/>
        </w:rPr>
        <w:t>Im begründeten Ausnahmefall kann vom dargestellten Verfahren abgewichen werden. Hierüber entscheidet die Projektleitung nach Abstimmung</w:t>
      </w:r>
      <w:r w:rsidR="004D6B9A">
        <w:rPr>
          <w:sz w:val="22"/>
        </w:rPr>
        <w:t xml:space="preserve"> mit dem </w:t>
      </w:r>
      <w:r>
        <w:rPr>
          <w:sz w:val="22"/>
        </w:rPr>
        <w:t>Steuerkreis Gladb</w:t>
      </w:r>
      <w:r>
        <w:rPr>
          <w:sz w:val="22"/>
        </w:rPr>
        <w:t>e</w:t>
      </w:r>
      <w:r>
        <w:rPr>
          <w:sz w:val="22"/>
        </w:rPr>
        <w:t>cker Bündnis. Diese Richtlinien treten zum 01.09.2016 in Kraft.</w:t>
      </w:r>
    </w:p>
    <w:p w:rsidR="005908EC" w:rsidRPr="005908EC" w:rsidRDefault="005908EC" w:rsidP="005908EC">
      <w:pPr>
        <w:pStyle w:val="Listenabsatz"/>
        <w:ind w:left="360"/>
        <w:rPr>
          <w:sz w:val="22"/>
        </w:rPr>
      </w:pPr>
    </w:p>
    <w:p w:rsidR="005908EC" w:rsidRDefault="005908EC" w:rsidP="005908EC">
      <w:pPr>
        <w:pStyle w:val="Listenabsatz"/>
        <w:ind w:left="360" w:right="0"/>
        <w:jc w:val="both"/>
        <w:rPr>
          <w:sz w:val="22"/>
        </w:rPr>
      </w:pPr>
    </w:p>
    <w:p w:rsidR="005908EC" w:rsidRDefault="005908EC" w:rsidP="005908EC">
      <w:pPr>
        <w:pStyle w:val="Listenabsatz"/>
        <w:ind w:left="360" w:right="0"/>
        <w:jc w:val="both"/>
        <w:rPr>
          <w:sz w:val="22"/>
        </w:rPr>
      </w:pPr>
    </w:p>
    <w:p w:rsidR="005908EC" w:rsidRDefault="005908EC" w:rsidP="005908EC">
      <w:pPr>
        <w:pStyle w:val="Listenabsatz"/>
        <w:ind w:left="360" w:right="0"/>
        <w:jc w:val="both"/>
        <w:rPr>
          <w:sz w:val="22"/>
        </w:rPr>
      </w:pPr>
      <w:r>
        <w:rPr>
          <w:sz w:val="22"/>
        </w:rPr>
        <w:t>Projektleitung Gladbecker Bündnis</w:t>
      </w:r>
    </w:p>
    <w:p w:rsidR="005908EC" w:rsidRDefault="005908EC" w:rsidP="005908EC">
      <w:pPr>
        <w:pStyle w:val="Listenabsatz"/>
        <w:ind w:left="360" w:right="0"/>
        <w:jc w:val="both"/>
        <w:rPr>
          <w:sz w:val="22"/>
        </w:rPr>
      </w:pPr>
    </w:p>
    <w:p w:rsidR="005908EC" w:rsidRDefault="005908EC" w:rsidP="005908EC">
      <w:pPr>
        <w:pStyle w:val="Listenabsatz"/>
        <w:ind w:left="360" w:right="0"/>
        <w:jc w:val="both"/>
        <w:rPr>
          <w:sz w:val="22"/>
        </w:rPr>
      </w:pPr>
    </w:p>
    <w:p w:rsidR="005908EC" w:rsidRPr="005908EC" w:rsidRDefault="005908EC" w:rsidP="005908EC">
      <w:pPr>
        <w:pStyle w:val="Listenabsatz"/>
        <w:ind w:left="360" w:right="0"/>
        <w:jc w:val="both"/>
        <w:rPr>
          <w:sz w:val="14"/>
        </w:rPr>
      </w:pPr>
    </w:p>
    <w:p w:rsidR="005908EC" w:rsidRPr="005908EC" w:rsidRDefault="005908EC" w:rsidP="005908EC">
      <w:pPr>
        <w:pStyle w:val="Listenabsatz"/>
        <w:ind w:left="360" w:right="0"/>
        <w:jc w:val="both"/>
        <w:rPr>
          <w:sz w:val="14"/>
        </w:rPr>
      </w:pPr>
      <w:r w:rsidRPr="005908EC">
        <w:rPr>
          <w:sz w:val="14"/>
        </w:rPr>
        <w:t>Richtlinien zum Projektantragsverfahren.docx/</w:t>
      </w:r>
      <w:proofErr w:type="spellStart"/>
      <w:r w:rsidRPr="005908EC">
        <w:rPr>
          <w:sz w:val="14"/>
        </w:rPr>
        <w:t>wi</w:t>
      </w:r>
      <w:proofErr w:type="spellEnd"/>
      <w:r w:rsidRPr="005908EC">
        <w:rPr>
          <w:sz w:val="14"/>
        </w:rPr>
        <w:t>/</w:t>
      </w:r>
      <w:proofErr w:type="spellStart"/>
      <w:r w:rsidRPr="005908EC">
        <w:rPr>
          <w:sz w:val="14"/>
        </w:rPr>
        <w:t>ge</w:t>
      </w:r>
      <w:proofErr w:type="spellEnd"/>
    </w:p>
    <w:p w:rsidR="005908EC" w:rsidRPr="005908EC" w:rsidRDefault="005908EC" w:rsidP="005908EC">
      <w:pPr>
        <w:pStyle w:val="Listenabsatz"/>
        <w:ind w:left="360" w:right="0"/>
        <w:jc w:val="both"/>
        <w:rPr>
          <w:sz w:val="22"/>
        </w:rPr>
      </w:pPr>
    </w:p>
    <w:sectPr w:rsidR="005908EC" w:rsidRPr="005908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6933"/>
    <w:multiLevelType w:val="hybridMultilevel"/>
    <w:tmpl w:val="1B0024C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1072792"/>
    <w:multiLevelType w:val="hybridMultilevel"/>
    <w:tmpl w:val="3F96CF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ED14E4C"/>
    <w:multiLevelType w:val="hybridMultilevel"/>
    <w:tmpl w:val="F6F000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706B7D8B"/>
    <w:multiLevelType w:val="hybridMultilevel"/>
    <w:tmpl w:val="6F16200E"/>
    <w:lvl w:ilvl="0" w:tplc="17D48840">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9A"/>
    <w:rsid w:val="000E6C8F"/>
    <w:rsid w:val="0011099A"/>
    <w:rsid w:val="001B7A5A"/>
    <w:rsid w:val="00434D09"/>
    <w:rsid w:val="004D6B9A"/>
    <w:rsid w:val="0050724F"/>
    <w:rsid w:val="005908EC"/>
    <w:rsid w:val="0080632F"/>
    <w:rsid w:val="00B0347D"/>
    <w:rsid w:val="00C94B8E"/>
    <w:rsid w:val="00DE22E1"/>
    <w:rsid w:val="00FB19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88" w:lineRule="auto"/>
      <w:ind w:right="567"/>
    </w:pPr>
    <w:rPr>
      <w:rFonts w:ascii="Segoe UI" w:hAnsi="Segoe UI"/>
      <w:sz w:val="21"/>
      <w:szCs w:val="24"/>
    </w:rPr>
  </w:style>
  <w:style w:type="paragraph" w:styleId="berschrift1">
    <w:name w:val="heading 1"/>
    <w:basedOn w:val="berschriftimCD"/>
    <w:next w:val="Standard"/>
    <w:qFormat/>
    <w:rPr>
      <w:rFonts w:cs="Arial"/>
      <w:bCs w:val="0"/>
      <w:szCs w:val="32"/>
    </w:rPr>
  </w:style>
  <w:style w:type="paragraph" w:styleId="berschrift2">
    <w:name w:val="heading 2"/>
    <w:basedOn w:val="Zwischen-berschriftimCD"/>
    <w:next w:val="Standard"/>
    <w:qFormat/>
    <w:rPr>
      <w:rFonts w:cs="Arial"/>
      <w:bCs w:val="0"/>
      <w:iCs/>
      <w:szCs w:val="28"/>
    </w:rPr>
  </w:style>
  <w:style w:type="paragraph" w:styleId="berschrift3">
    <w:name w:val="heading 3"/>
    <w:basedOn w:val="Zwischen-berschriftimCD"/>
    <w:next w:val="Standard"/>
    <w:qFormat/>
    <w:pPr>
      <w:outlineLvl w:val="2"/>
    </w:pPr>
    <w:rPr>
      <w:rFonts w:cs="Arial"/>
      <w:b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imCD">
    <w:name w:val="Text im CD"/>
    <w:basedOn w:val="Standard"/>
    <w:rPr>
      <w:rFonts w:cs="Segoe UI"/>
      <w:szCs w:val="20"/>
    </w:rPr>
  </w:style>
  <w:style w:type="paragraph" w:customStyle="1" w:styleId="berschriftimCD">
    <w:name w:val="Überschrift im CD"/>
    <w:basedOn w:val="Standard"/>
    <w:next w:val="Standard"/>
    <w:autoRedefine/>
    <w:pPr>
      <w:outlineLvl w:val="0"/>
    </w:pPr>
    <w:rPr>
      <w:rFonts w:cs="Segoe UI"/>
      <w:bCs/>
      <w:sz w:val="28"/>
      <w:szCs w:val="20"/>
    </w:rPr>
  </w:style>
  <w:style w:type="paragraph" w:customStyle="1" w:styleId="Zwischen-berschriftimCD">
    <w:name w:val="Zwischen-Überschrift im CD"/>
    <w:basedOn w:val="Standard"/>
    <w:next w:val="Standard"/>
    <w:autoRedefine/>
    <w:pPr>
      <w:outlineLvl w:val="1"/>
    </w:pPr>
    <w:rPr>
      <w:rFonts w:cs="Segoe UI"/>
      <w:b/>
      <w:bCs/>
      <w:sz w:val="22"/>
      <w:szCs w:val="20"/>
    </w:rPr>
  </w:style>
  <w:style w:type="paragraph" w:styleId="Umschlagabsenderadresse">
    <w:name w:val="envelope return"/>
    <w:basedOn w:val="Standard"/>
    <w:autoRedefine/>
    <w:semiHidden/>
    <w:pPr>
      <w:framePr w:w="4320" w:h="2160" w:hRule="exact" w:hSpace="141" w:wrap="auto" w:vAnchor="page" w:hAnchor="page" w:x="721" w:y="1203"/>
      <w:spacing w:line="240" w:lineRule="auto"/>
      <w:ind w:right="0"/>
    </w:pPr>
    <w:rPr>
      <w:rFonts w:cs="Segoe UI"/>
      <w:szCs w:val="20"/>
    </w:rPr>
  </w:style>
  <w:style w:type="paragraph" w:styleId="Umschlagadresse">
    <w:name w:val="envelope address"/>
    <w:basedOn w:val="Standard"/>
    <w:autoRedefine/>
    <w:semiHidden/>
    <w:pPr>
      <w:framePr w:w="4319" w:h="2160" w:hRule="exact" w:hSpace="141" w:wrap="auto" w:vAnchor="page" w:hAnchor="page" w:x="5761" w:y="3119"/>
      <w:spacing w:line="240" w:lineRule="auto"/>
      <w:ind w:right="0"/>
    </w:pPr>
    <w:rPr>
      <w:rFonts w:cs="Arial"/>
    </w:rPr>
  </w:style>
  <w:style w:type="paragraph" w:styleId="Funotentext">
    <w:name w:val="footnote text"/>
    <w:basedOn w:val="Standard"/>
    <w:semiHidden/>
    <w:rPr>
      <w:szCs w:val="20"/>
    </w:rPr>
  </w:style>
  <w:style w:type="paragraph" w:styleId="Listenabsatz">
    <w:name w:val="List Paragraph"/>
    <w:basedOn w:val="Standard"/>
    <w:uiPriority w:val="34"/>
    <w:qFormat/>
    <w:rsid w:val="001109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88" w:lineRule="auto"/>
      <w:ind w:right="567"/>
    </w:pPr>
    <w:rPr>
      <w:rFonts w:ascii="Segoe UI" w:hAnsi="Segoe UI"/>
      <w:sz w:val="21"/>
      <w:szCs w:val="24"/>
    </w:rPr>
  </w:style>
  <w:style w:type="paragraph" w:styleId="berschrift1">
    <w:name w:val="heading 1"/>
    <w:basedOn w:val="berschriftimCD"/>
    <w:next w:val="Standard"/>
    <w:qFormat/>
    <w:rPr>
      <w:rFonts w:cs="Arial"/>
      <w:bCs w:val="0"/>
      <w:szCs w:val="32"/>
    </w:rPr>
  </w:style>
  <w:style w:type="paragraph" w:styleId="berschrift2">
    <w:name w:val="heading 2"/>
    <w:basedOn w:val="Zwischen-berschriftimCD"/>
    <w:next w:val="Standard"/>
    <w:qFormat/>
    <w:rPr>
      <w:rFonts w:cs="Arial"/>
      <w:bCs w:val="0"/>
      <w:iCs/>
      <w:szCs w:val="28"/>
    </w:rPr>
  </w:style>
  <w:style w:type="paragraph" w:styleId="berschrift3">
    <w:name w:val="heading 3"/>
    <w:basedOn w:val="Zwischen-berschriftimCD"/>
    <w:next w:val="Standard"/>
    <w:qFormat/>
    <w:pPr>
      <w:outlineLvl w:val="2"/>
    </w:pPr>
    <w:rPr>
      <w:rFonts w:cs="Arial"/>
      <w:b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imCD">
    <w:name w:val="Text im CD"/>
    <w:basedOn w:val="Standard"/>
    <w:rPr>
      <w:rFonts w:cs="Segoe UI"/>
      <w:szCs w:val="20"/>
    </w:rPr>
  </w:style>
  <w:style w:type="paragraph" w:customStyle="1" w:styleId="berschriftimCD">
    <w:name w:val="Überschrift im CD"/>
    <w:basedOn w:val="Standard"/>
    <w:next w:val="Standard"/>
    <w:autoRedefine/>
    <w:pPr>
      <w:outlineLvl w:val="0"/>
    </w:pPr>
    <w:rPr>
      <w:rFonts w:cs="Segoe UI"/>
      <w:bCs/>
      <w:sz w:val="28"/>
      <w:szCs w:val="20"/>
    </w:rPr>
  </w:style>
  <w:style w:type="paragraph" w:customStyle="1" w:styleId="Zwischen-berschriftimCD">
    <w:name w:val="Zwischen-Überschrift im CD"/>
    <w:basedOn w:val="Standard"/>
    <w:next w:val="Standard"/>
    <w:autoRedefine/>
    <w:pPr>
      <w:outlineLvl w:val="1"/>
    </w:pPr>
    <w:rPr>
      <w:rFonts w:cs="Segoe UI"/>
      <w:b/>
      <w:bCs/>
      <w:sz w:val="22"/>
      <w:szCs w:val="20"/>
    </w:rPr>
  </w:style>
  <w:style w:type="paragraph" w:styleId="Umschlagabsenderadresse">
    <w:name w:val="envelope return"/>
    <w:basedOn w:val="Standard"/>
    <w:autoRedefine/>
    <w:semiHidden/>
    <w:pPr>
      <w:framePr w:w="4320" w:h="2160" w:hRule="exact" w:hSpace="141" w:wrap="auto" w:vAnchor="page" w:hAnchor="page" w:x="721" w:y="1203"/>
      <w:spacing w:line="240" w:lineRule="auto"/>
      <w:ind w:right="0"/>
    </w:pPr>
    <w:rPr>
      <w:rFonts w:cs="Segoe UI"/>
      <w:szCs w:val="20"/>
    </w:rPr>
  </w:style>
  <w:style w:type="paragraph" w:styleId="Umschlagadresse">
    <w:name w:val="envelope address"/>
    <w:basedOn w:val="Standard"/>
    <w:autoRedefine/>
    <w:semiHidden/>
    <w:pPr>
      <w:framePr w:w="4319" w:h="2160" w:hRule="exact" w:hSpace="141" w:wrap="auto" w:vAnchor="page" w:hAnchor="page" w:x="5761" w:y="3119"/>
      <w:spacing w:line="240" w:lineRule="auto"/>
      <w:ind w:right="0"/>
    </w:pPr>
    <w:rPr>
      <w:rFonts w:cs="Arial"/>
    </w:rPr>
  </w:style>
  <w:style w:type="paragraph" w:styleId="Funotentext">
    <w:name w:val="footnote text"/>
    <w:basedOn w:val="Standard"/>
    <w:semiHidden/>
    <w:rPr>
      <w:szCs w:val="20"/>
    </w:rPr>
  </w:style>
  <w:style w:type="paragraph" w:styleId="Listenabsatz">
    <w:name w:val="List Paragraph"/>
    <w:basedOn w:val="Standard"/>
    <w:uiPriority w:val="34"/>
    <w:qFormat/>
    <w:rsid w:val="00110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3051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Stadt Gladbeck</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Wiesner, Annegret</dc:creator>
  <cp:lastModifiedBy>Geckeis, Ulrike</cp:lastModifiedBy>
  <cp:revision>9</cp:revision>
  <cp:lastPrinted>2016-05-10T14:25:00Z</cp:lastPrinted>
  <dcterms:created xsi:type="dcterms:W3CDTF">2016-03-02T07:53:00Z</dcterms:created>
  <dcterms:modified xsi:type="dcterms:W3CDTF">2016-05-10T15:41:00Z</dcterms:modified>
</cp:coreProperties>
</file>